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1" w:rsidRPr="00925351" w:rsidRDefault="00925351" w:rsidP="00925351">
      <w:pPr>
        <w:pStyle w:val="2"/>
        <w:framePr w:w="10262" w:h="14180" w:hRule="exact" w:wrap="none" w:vAnchor="page" w:hAnchor="page" w:x="838" w:y="1466"/>
        <w:shd w:val="clear" w:color="auto" w:fill="auto"/>
        <w:spacing w:after="301" w:line="250" w:lineRule="exact"/>
        <w:ind w:right="20"/>
        <w:jc w:val="center"/>
        <w:rPr>
          <w:b/>
          <w:sz w:val="28"/>
          <w:szCs w:val="28"/>
        </w:rPr>
      </w:pPr>
      <w:r w:rsidRPr="00925351">
        <w:rPr>
          <w:b/>
          <w:sz w:val="28"/>
          <w:szCs w:val="28"/>
        </w:rPr>
        <w:t>Рекомендации о поддержке негосударственных (частных) детских садов</w:t>
      </w:r>
    </w:p>
    <w:p w:rsidR="004A2735" w:rsidRPr="00925351" w:rsidRDefault="00925351" w:rsidP="00925351">
      <w:pPr>
        <w:pStyle w:val="2"/>
        <w:framePr w:w="10262" w:h="14180" w:hRule="exact" w:wrap="none" w:vAnchor="page" w:hAnchor="page" w:x="838" w:y="1466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В настоящее время сформирована необходимая нормативная правовая база государственной </w:t>
      </w:r>
      <w:r w:rsidRPr="00925351">
        <w:rPr>
          <w:sz w:val="28"/>
          <w:szCs w:val="28"/>
        </w:rPr>
        <w:t>поддержки негосударственных форм дошкольного образования:</w:t>
      </w:r>
    </w:p>
    <w:p w:rsidR="004A2735" w:rsidRPr="00925351" w:rsidRDefault="00925351" w:rsidP="00925351">
      <w:pPr>
        <w:pStyle w:val="2"/>
        <w:framePr w:w="10262" w:h="14180" w:hRule="exact" w:wrap="none" w:vAnchor="page" w:hAnchor="page" w:x="838" w:y="1466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финансирование образовательной деятельности имеющих лицензию негосударственных детских садов становится с 1 января 2014 г. полномочием субъектов Российской Федерации. Негосударственные организации б</w:t>
      </w:r>
      <w:r w:rsidRPr="00925351">
        <w:rPr>
          <w:sz w:val="28"/>
          <w:szCs w:val="28"/>
        </w:rPr>
        <w:t>удут финансироваться в соответствии с нормативами, установленными для государственных и муниципальных дошкольных организаций (подпункт 6 пункта 1 статьи 8 Федерального закона от 29 декабря 2012 г. № 273-ФЗ «Об образовании в Российской Федерации» (далее - Ф</w:t>
      </w:r>
      <w:r w:rsidRPr="00925351">
        <w:rPr>
          <w:sz w:val="28"/>
          <w:szCs w:val="28"/>
        </w:rPr>
        <w:t>едеральный закон об образовании);</w:t>
      </w:r>
    </w:p>
    <w:p w:rsidR="004A2735" w:rsidRPr="00925351" w:rsidRDefault="00925351" w:rsidP="00925351">
      <w:pPr>
        <w:pStyle w:val="2"/>
        <w:framePr w:w="10262" w:h="14180" w:hRule="exact" w:wrap="none" w:vAnchor="page" w:hAnchor="page" w:x="838" w:y="1466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индивидуальные предприниматели, осуществляющие образовательную деятельность, в том числе в сфере дошкольного образования, приравнены по правам и ответственности к организациям, осуществляющим образовательную деятельность (</w:t>
      </w:r>
      <w:r w:rsidRPr="00925351">
        <w:rPr>
          <w:sz w:val="28"/>
          <w:szCs w:val="28"/>
        </w:rPr>
        <w:t>пункт 20 статьи 2 Федерального закона об образовании). Это означает, что для реализации программы дошкольного образования индивидуальные предприниматели должны будут получить лицензию. Вместе с тем, при осуществлении образовательной деятельностью в соответ</w:t>
      </w:r>
      <w:r w:rsidRPr="00925351">
        <w:rPr>
          <w:sz w:val="28"/>
          <w:szCs w:val="28"/>
        </w:rPr>
        <w:t>ствии с лицензией они получают бюджетное финансирование реализации основой образовательной программы дошкольного образования;</w:t>
      </w:r>
    </w:p>
    <w:p w:rsidR="004A2735" w:rsidRPr="00925351" w:rsidRDefault="00925351" w:rsidP="00925351">
      <w:pPr>
        <w:pStyle w:val="2"/>
        <w:framePr w:w="10262" w:h="14180" w:hRule="exact" w:wrap="none" w:vAnchor="page" w:hAnchor="page" w:x="838" w:y="1466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за юридическими лицами независимо от организационно-правовой формы закреплена возможность осуществлять образовательную деятельност</w:t>
      </w:r>
      <w:r w:rsidRPr="00925351">
        <w:rPr>
          <w:sz w:val="28"/>
          <w:szCs w:val="28"/>
        </w:rPr>
        <w:t xml:space="preserve">ь по программам дошкольного образования в качестве дополнительного вида деятельности (пункт 19 статьи 2 Федерального закона об образовании). Это дает возможность предприятиям и организациям создавать корпоративные детские сады для детей своих сотрудников. </w:t>
      </w:r>
      <w:r w:rsidRPr="00925351">
        <w:rPr>
          <w:sz w:val="28"/>
          <w:szCs w:val="28"/>
        </w:rPr>
        <w:t>Кроме того, субъекты малого и среднего предпринимательства могут основной деятельностью указать присмотр и уход за детьми, заявив в качестве дополнительной реализацию программ дошкольного образования;</w:t>
      </w:r>
    </w:p>
    <w:p w:rsidR="004A2735" w:rsidRPr="00925351" w:rsidRDefault="00925351" w:rsidP="00925351">
      <w:pPr>
        <w:pStyle w:val="2"/>
        <w:framePr w:w="10262" w:h="14180" w:hRule="exact" w:wrap="none" w:vAnchor="page" w:hAnchor="page" w:x="838" w:y="1466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925351">
        <w:rPr>
          <w:sz w:val="28"/>
          <w:szCs w:val="28"/>
        </w:rPr>
        <w:t>положения Жилищного кодекса дают возможность организова</w:t>
      </w:r>
      <w:r w:rsidRPr="00925351">
        <w:rPr>
          <w:sz w:val="28"/>
          <w:szCs w:val="28"/>
        </w:rPr>
        <w:t>ть группы для детей дошкольного возраста в жилых помещениях (пунктом 2 статьи 17 Жилищного кодекса установлено, что допускается использование жилого помещения для осуществления профессиональной деятельности или индивидуальной предпринимательской деятельнос</w:t>
      </w:r>
      <w:r w:rsidRPr="00925351">
        <w:rPr>
          <w:sz w:val="28"/>
          <w:szCs w:val="28"/>
        </w:rPr>
        <w:t>ти проживающими в нем на законных основаниях гражданами, если это не нарушает права и законные интересы</w:t>
      </w:r>
      <w:proofErr w:type="gramEnd"/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62" w:h="14516" w:hRule="exact" w:wrap="none" w:vAnchor="page" w:hAnchor="page" w:x="838" w:y="1375"/>
        <w:shd w:val="clear" w:color="auto" w:fill="auto"/>
        <w:tabs>
          <w:tab w:val="left" w:pos="1166"/>
        </w:tabs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 xml:space="preserve">других граждан, а также требования, которым должно отвечать жилое помещение). </w:t>
      </w:r>
      <w:proofErr w:type="gramStart"/>
      <w:r w:rsidRPr="00925351">
        <w:rPr>
          <w:sz w:val="28"/>
          <w:szCs w:val="28"/>
        </w:rPr>
        <w:t xml:space="preserve">Обновленные в 2013 г. требования пожарной </w:t>
      </w:r>
      <w:r w:rsidRPr="00925351">
        <w:rPr>
          <w:sz w:val="28"/>
          <w:szCs w:val="28"/>
        </w:rPr>
        <w:t>безопасности позволяют при организации таких групп предъявлять к их противопожарному оснащению нормы, установленные для жилых помещений, а не для дошкольных организаций (в Свод правил СП 4.13130.2013 «Системы противопожарной защиты.</w:t>
      </w:r>
      <w:proofErr w:type="gramEnd"/>
      <w:r w:rsidRPr="00925351">
        <w:rPr>
          <w:sz w:val="28"/>
          <w:szCs w:val="28"/>
        </w:rPr>
        <w:t xml:space="preserve"> Ограничение распростран</w:t>
      </w:r>
      <w:r w:rsidRPr="00925351">
        <w:rPr>
          <w:sz w:val="28"/>
          <w:szCs w:val="28"/>
        </w:rPr>
        <w:t xml:space="preserve">ения пожара на объектах защиты. Требования к </w:t>
      </w:r>
      <w:proofErr w:type="spellStart"/>
      <w:r w:rsidRPr="00925351">
        <w:rPr>
          <w:sz w:val="28"/>
          <w:szCs w:val="28"/>
        </w:rPr>
        <w:t>объектно</w:t>
      </w:r>
      <w:r w:rsidRPr="00925351">
        <w:rPr>
          <w:sz w:val="28"/>
          <w:szCs w:val="28"/>
        </w:rPr>
        <w:softHyphen/>
        <w:t>планировочным</w:t>
      </w:r>
      <w:proofErr w:type="spellEnd"/>
      <w:r w:rsidRPr="00925351">
        <w:rPr>
          <w:sz w:val="28"/>
          <w:szCs w:val="28"/>
        </w:rPr>
        <w:t xml:space="preserve"> и конструктивным решениям» (утвержден приказом МЧС России от 24 апреля 2013 г. № 288), регламентирующий размещение образовательных организаций в зданиях различных классов функциональной по</w:t>
      </w:r>
      <w:r w:rsidRPr="00925351">
        <w:rPr>
          <w:sz w:val="28"/>
          <w:szCs w:val="28"/>
        </w:rPr>
        <w:t xml:space="preserve">жарной опасности, внесен пункт 5.2.3 следующего содержания: </w:t>
      </w:r>
      <w:proofErr w:type="gramStart"/>
      <w:r w:rsidRPr="00925351">
        <w:rPr>
          <w:sz w:val="28"/>
          <w:szCs w:val="28"/>
        </w:rPr>
        <w:t>«К помещениям семейных дошкольных групп и иных групп детей дошкольного возраста малой наполняемости (до 8 детей), размещаемым в жилых домах, предъявляются противопожарные требования, как к жилым п</w:t>
      </w:r>
      <w:r w:rsidRPr="00925351">
        <w:rPr>
          <w:sz w:val="28"/>
          <w:szCs w:val="28"/>
        </w:rPr>
        <w:t>омещениям жилых домов»);</w:t>
      </w:r>
      <w:proofErr w:type="gramEnd"/>
    </w:p>
    <w:p w:rsidR="004A2735" w:rsidRPr="00925351" w:rsidRDefault="00925351" w:rsidP="00925351">
      <w:pPr>
        <w:pStyle w:val="2"/>
        <w:framePr w:w="10262" w:h="14516" w:hRule="exact" w:wrap="none" w:vAnchor="page" w:hAnchor="page" w:x="838" w:y="1375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новая редакция санитарно-эпидемиологических правил и нормативов </w:t>
      </w:r>
      <w:proofErr w:type="spellStart"/>
      <w:r w:rsidRPr="00925351">
        <w:rPr>
          <w:sz w:val="28"/>
          <w:szCs w:val="28"/>
        </w:rPr>
        <w:t>СанПиН</w:t>
      </w:r>
      <w:proofErr w:type="spellEnd"/>
      <w:r w:rsidRPr="00925351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сан</w:t>
      </w:r>
      <w:r w:rsidRPr="00925351">
        <w:rPr>
          <w:sz w:val="28"/>
          <w:szCs w:val="28"/>
        </w:rPr>
        <w:t>итарные правила) (утверждена постановлением Главного государственного санитарного врача Российской Федерации от 14 мая 2013 г. № 26) снимает многие ограничения для развития частных детских садов. В новой редакции санитарных правил исключены излишне детализ</w:t>
      </w:r>
      <w:r w:rsidRPr="00925351">
        <w:rPr>
          <w:sz w:val="28"/>
          <w:szCs w:val="28"/>
        </w:rPr>
        <w:t>ированные формулировки, ограничивающие многофункциональное использование различных помещений и территорий дошкольных организаций.</w:t>
      </w:r>
    </w:p>
    <w:p w:rsidR="004A2735" w:rsidRPr="00925351" w:rsidRDefault="00925351" w:rsidP="00925351">
      <w:pPr>
        <w:pStyle w:val="2"/>
        <w:framePr w:w="10262" w:h="14516" w:hRule="exact" w:wrap="none" w:vAnchor="page" w:hAnchor="page" w:x="838" w:y="137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Кроме того, в стадии доработки в настоящее время находится нормативный правовой акт, утверждающий санитарно-эпидемиологические</w:t>
      </w:r>
      <w:r w:rsidRPr="00925351">
        <w:rPr>
          <w:sz w:val="28"/>
          <w:szCs w:val="28"/>
        </w:rPr>
        <w:t xml:space="preserve"> требования к устройству, содержанию и организации режима работы семейных групп, размещенных в жилых помещениях. Это будут санитарные правила, устанавливающие «облегченные» требования для групп малой наполняемости, в том числе организованных индивидуальным</w:t>
      </w:r>
      <w:r w:rsidRPr="00925351">
        <w:rPr>
          <w:sz w:val="28"/>
          <w:szCs w:val="28"/>
        </w:rPr>
        <w:t>и предпринимателями в жилых и приспособленных помещениях;</w:t>
      </w:r>
    </w:p>
    <w:p w:rsidR="004A2735" w:rsidRPr="00925351" w:rsidRDefault="00925351" w:rsidP="00925351">
      <w:pPr>
        <w:pStyle w:val="2"/>
        <w:framePr w:w="10262" w:h="14516" w:hRule="exact" w:wrap="none" w:vAnchor="page" w:hAnchor="page" w:x="838" w:y="1375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в Федеральный закон от 12 января 1996 г. № 7-ФЗ «О некоммерческих организациях» в 2010 г. внесена статья 31.1. «Поддержка социально ориентированных некоммерческих организаций органами государственно</w:t>
      </w:r>
      <w:r w:rsidRPr="00925351">
        <w:rPr>
          <w:sz w:val="28"/>
          <w:szCs w:val="28"/>
        </w:rPr>
        <w:t xml:space="preserve">й власти и органами местного самоуправления». В ней организации, осуществляющие деятельность в области образования (в том числе дошкольного образования), отнесены к социально </w:t>
      </w:r>
      <w:proofErr w:type="gramStart"/>
      <w:r w:rsidRPr="00925351">
        <w:rPr>
          <w:sz w:val="28"/>
          <w:szCs w:val="28"/>
        </w:rPr>
        <w:t>ориентированным</w:t>
      </w:r>
      <w:proofErr w:type="gramEnd"/>
      <w:r w:rsidRPr="00925351">
        <w:rPr>
          <w:sz w:val="28"/>
          <w:szCs w:val="28"/>
        </w:rPr>
        <w:t>. Для них предусмотрено право органов государственной власти субъе</w:t>
      </w:r>
      <w:r w:rsidRPr="00925351">
        <w:rPr>
          <w:sz w:val="28"/>
          <w:szCs w:val="28"/>
        </w:rPr>
        <w:t>ктов Российской Федерации и органов местного самоуправления оказывать поддержку в следующих формах:</w:t>
      </w:r>
    </w:p>
    <w:p w:rsidR="004A2735" w:rsidRPr="00925351" w:rsidRDefault="00925351" w:rsidP="00925351">
      <w:pPr>
        <w:pStyle w:val="2"/>
        <w:framePr w:w="10262" w:h="14516" w:hRule="exact" w:wrap="none" w:vAnchor="page" w:hAnchor="page" w:x="838" w:y="1375"/>
        <w:shd w:val="clear" w:color="auto" w:fill="auto"/>
        <w:tabs>
          <w:tab w:val="left" w:pos="1450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а)</w:t>
      </w:r>
      <w:r w:rsidRPr="00925351">
        <w:rPr>
          <w:sz w:val="28"/>
          <w:szCs w:val="28"/>
        </w:rPr>
        <w:tab/>
        <w:t>финансовая, имущественная, информационная, консультационная поддержка, а также поддержка в области подготовки, переподготовки и повышения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tabs>
          <w:tab w:val="left" w:pos="1450"/>
        </w:tabs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>квалификации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numPr>
          <w:ilvl w:val="0"/>
          <w:numId w:val="2"/>
        </w:numPr>
        <w:shd w:val="clear" w:color="auto" w:fill="auto"/>
        <w:tabs>
          <w:tab w:val="left" w:pos="1328"/>
          <w:tab w:val="center" w:pos="4496"/>
          <w:tab w:val="left" w:pos="5552"/>
          <w:tab w:val="right" w:pos="10339"/>
        </w:tabs>
        <w:spacing w:after="0" w:line="370" w:lineRule="exact"/>
        <w:ind w:lef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предоставление</w:t>
      </w:r>
      <w:r w:rsidRPr="00925351">
        <w:rPr>
          <w:sz w:val="28"/>
          <w:szCs w:val="28"/>
        </w:rPr>
        <w:tab/>
        <w:t>социально</w:t>
      </w:r>
      <w:r w:rsidRPr="00925351">
        <w:rPr>
          <w:sz w:val="28"/>
          <w:szCs w:val="28"/>
        </w:rPr>
        <w:tab/>
      </w:r>
      <w:proofErr w:type="gramStart"/>
      <w:r w:rsidRPr="00925351">
        <w:rPr>
          <w:sz w:val="28"/>
          <w:szCs w:val="28"/>
        </w:rPr>
        <w:t>ориентированным</w:t>
      </w:r>
      <w:proofErr w:type="gramEnd"/>
      <w:r w:rsidRPr="00925351">
        <w:rPr>
          <w:sz w:val="28"/>
          <w:szCs w:val="28"/>
        </w:rPr>
        <w:tab/>
        <w:t>некоммерческим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организациям льгот по уплате налогов</w:t>
      </w:r>
      <w:r w:rsidRPr="00925351">
        <w:rPr>
          <w:sz w:val="28"/>
          <w:szCs w:val="28"/>
        </w:rPr>
        <w:t xml:space="preserve"> и сборов в соответствии с законодательством о налогах и сборах;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tabs>
          <w:tab w:val="left" w:pos="1328"/>
          <w:tab w:val="center" w:pos="4496"/>
          <w:tab w:val="left" w:pos="5552"/>
          <w:tab w:val="right" w:pos="10339"/>
        </w:tabs>
        <w:spacing w:after="0" w:line="370" w:lineRule="exact"/>
        <w:ind w:lef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в)</w:t>
      </w:r>
      <w:r w:rsidRPr="00925351">
        <w:rPr>
          <w:sz w:val="28"/>
          <w:szCs w:val="28"/>
        </w:rPr>
        <w:tab/>
        <w:t>размещение у</w:t>
      </w:r>
      <w:r w:rsidRPr="00925351">
        <w:rPr>
          <w:sz w:val="28"/>
          <w:szCs w:val="28"/>
        </w:rPr>
        <w:tab/>
        <w:t>социально</w:t>
      </w:r>
      <w:r w:rsidRPr="00925351">
        <w:rPr>
          <w:sz w:val="28"/>
          <w:szCs w:val="28"/>
        </w:rPr>
        <w:tab/>
      </w:r>
      <w:proofErr w:type="gramStart"/>
      <w:r w:rsidRPr="00925351">
        <w:rPr>
          <w:sz w:val="28"/>
          <w:szCs w:val="28"/>
        </w:rPr>
        <w:t>ориентированных</w:t>
      </w:r>
      <w:proofErr w:type="gramEnd"/>
      <w:r w:rsidRPr="00925351">
        <w:rPr>
          <w:sz w:val="28"/>
          <w:szCs w:val="28"/>
        </w:rPr>
        <w:tab/>
        <w:t>некоммерческих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организаций заказов на поставки товаров, выполнение работ, оказание услуг для государственных и муниципальных нужд в порядке, </w:t>
      </w:r>
      <w:r w:rsidRPr="00925351">
        <w:rPr>
          <w:sz w:val="28"/>
          <w:szCs w:val="28"/>
        </w:rPr>
        <w:t>предусмотренном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tabs>
          <w:tab w:val="left" w:pos="1328"/>
          <w:tab w:val="center" w:pos="4496"/>
          <w:tab w:val="left" w:pos="5552"/>
        </w:tabs>
        <w:spacing w:after="0" w:line="370" w:lineRule="exact"/>
        <w:ind w:lef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г)</w:t>
      </w:r>
      <w:r w:rsidRPr="00925351">
        <w:rPr>
          <w:sz w:val="28"/>
          <w:szCs w:val="28"/>
        </w:rPr>
        <w:tab/>
        <w:t>предоставление</w:t>
      </w:r>
      <w:r w:rsidRPr="00925351">
        <w:rPr>
          <w:sz w:val="28"/>
          <w:szCs w:val="28"/>
        </w:rPr>
        <w:tab/>
        <w:t>юридическим</w:t>
      </w:r>
      <w:r w:rsidRPr="00925351">
        <w:rPr>
          <w:sz w:val="28"/>
          <w:szCs w:val="28"/>
        </w:rPr>
        <w:tab/>
        <w:t>лицам, оказывающим социально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ориентированным</w:t>
      </w:r>
      <w:r w:rsidRPr="00925351">
        <w:rPr>
          <w:sz w:val="28"/>
          <w:szCs w:val="28"/>
        </w:rPr>
        <w:t xml:space="preserve">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Минэкономразвития России осуществляет поддержку малого и среднего предпринимательства путем предоставления субсидий</w:t>
      </w:r>
      <w:r w:rsidRPr="00925351">
        <w:rPr>
          <w:sz w:val="28"/>
          <w:szCs w:val="28"/>
        </w:rPr>
        <w:t xml:space="preserve"> субъектам Российской Федерации, которые, в свою очередь предоставляют субсидии субъектам малого и среднего предпринимательства за счет средств федерального и региональных бюджетов (приказ Минэкономразвития России от 24 апреля 2013 г. № 220).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Таким образом</w:t>
      </w:r>
      <w:r w:rsidRPr="00925351">
        <w:rPr>
          <w:sz w:val="28"/>
          <w:szCs w:val="28"/>
        </w:rPr>
        <w:t>, негосударственный сектор дошкольного образования может рассматриваться в качестве одного из возможных механизмов решения задачи по обеспечению 100% доступности к 2016 г. дошкольного образования для детей в возрасте от трёх до семи лет в соответствии с Ук</w:t>
      </w:r>
      <w:r w:rsidRPr="00925351">
        <w:rPr>
          <w:sz w:val="28"/>
          <w:szCs w:val="28"/>
        </w:rPr>
        <w:t>азом Президента Российской Федерации от 7 мая 2012 года № 599.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На сегодняшний день в ряде субъектов Российской Федерации в практику уже внедрены отдельные механизмы поддержки частных образовательных организаций и индивидуальных предпринимателей, реализующи</w:t>
      </w:r>
      <w:r w:rsidRPr="00925351">
        <w:rPr>
          <w:sz w:val="28"/>
          <w:szCs w:val="28"/>
        </w:rPr>
        <w:t>х программы дошкольного образования, различающиеся по своей эффективности и нагрузке на региональные и муниципальные бюджеты.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При этом решение о внедрении каждого конкретного механизма должно приниматься органами государственной власти субъектов Российской</w:t>
      </w:r>
      <w:r w:rsidRPr="00925351">
        <w:rPr>
          <w:sz w:val="28"/>
          <w:szCs w:val="28"/>
        </w:rPr>
        <w:t xml:space="preserve"> Федерации исходя из оценок эффективности его реализации в условиях, определяемых развитием системы дошкольного образования конкретного региона, и задачами, стоящими перед ней.</w:t>
      </w:r>
    </w:p>
    <w:p w:rsidR="004A2735" w:rsidRPr="00925351" w:rsidRDefault="00925351" w:rsidP="00925351">
      <w:pPr>
        <w:pStyle w:val="2"/>
        <w:framePr w:w="10286" w:h="14136" w:hRule="exact" w:wrap="none" w:vAnchor="page" w:hAnchor="page" w:x="826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Анализ материалов и документов, полученных от органов государственной власти су</w:t>
      </w:r>
      <w:r w:rsidRPr="00925351">
        <w:rPr>
          <w:sz w:val="28"/>
          <w:szCs w:val="28"/>
        </w:rPr>
        <w:t>бъектов Российской Федерации в сфере образования, а также предоставленных АНО «Агентством стратегических инициатив по продвижению новых проектов», позволил выявить следующие подходы, которые могли бы быть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67" w:h="14515" w:hRule="exact" w:wrap="none" w:vAnchor="page" w:hAnchor="page" w:x="835" w:y="1356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 xml:space="preserve">использованы для поддержки </w:t>
      </w:r>
      <w:r w:rsidRPr="00925351">
        <w:rPr>
          <w:sz w:val="28"/>
          <w:szCs w:val="28"/>
        </w:rPr>
        <w:t>негосударственного сектора дошкольного образования.</w:t>
      </w:r>
    </w:p>
    <w:p w:rsidR="004A2735" w:rsidRPr="00925351" w:rsidRDefault="00925351" w:rsidP="00925351">
      <w:pPr>
        <w:pStyle w:val="21"/>
        <w:framePr w:w="10267" w:h="14515" w:hRule="exact" w:wrap="none" w:vAnchor="page" w:hAnchor="page" w:x="835" w:y="1356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Уменьшение арендных ставок (или возмещение части арендной платы) на государственное и муниципальное имущество, передаваемое в аренду частным образовательным организациям и (или) индивидуальным предпринима</w:t>
      </w:r>
      <w:r w:rsidRPr="00925351">
        <w:rPr>
          <w:sz w:val="28"/>
          <w:szCs w:val="28"/>
        </w:rPr>
        <w:t>телям.</w:t>
      </w:r>
    </w:p>
    <w:p w:rsidR="004A2735" w:rsidRPr="00925351" w:rsidRDefault="00925351" w:rsidP="00925351">
      <w:pPr>
        <w:pStyle w:val="2"/>
        <w:framePr w:w="10267" w:h="14515" w:hRule="exact" w:wrap="none" w:vAnchor="page" w:hAnchor="page" w:x="835" w:y="1356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25351">
        <w:rPr>
          <w:sz w:val="28"/>
          <w:szCs w:val="28"/>
        </w:rPr>
        <w:t>Реализация данного механизма имеет различные особенности как в определении перечня поставщиков услуг дошкольного образования, для которых арендная плата уменьшена (так, в Еврейской автономной области арендная плата снижается только для индивидуальны</w:t>
      </w:r>
      <w:r w:rsidRPr="00925351">
        <w:rPr>
          <w:sz w:val="28"/>
          <w:szCs w:val="28"/>
        </w:rPr>
        <w:t>х предпринимателей, в Пензенской области - для всех юридических лиц и индивидуальных предпринимателей, работающих в сфере дошкольного образования), так и в величине самой льготы (так, в Республиках Бурятия, Марий Эл, Приморском крае</w:t>
      </w:r>
      <w:proofErr w:type="gramEnd"/>
      <w:r w:rsidRPr="00925351">
        <w:rPr>
          <w:sz w:val="28"/>
          <w:szCs w:val="28"/>
        </w:rPr>
        <w:t xml:space="preserve"> имеется опыт предоставл</w:t>
      </w:r>
      <w:r w:rsidRPr="00925351">
        <w:rPr>
          <w:sz w:val="28"/>
          <w:szCs w:val="28"/>
        </w:rPr>
        <w:t>ения площадей, находящихся в муниципальной собственности, частным детским садам на безвозмездной основе; в большинстве субъектов Российской Федерации практикуется значительное снижение арендной ставки). Реализация данного механизма осуществляется как на ре</w:t>
      </w:r>
      <w:r w:rsidRPr="00925351">
        <w:rPr>
          <w:sz w:val="28"/>
          <w:szCs w:val="28"/>
        </w:rPr>
        <w:t xml:space="preserve">гиональном, так и на муниципальном уровне, поскольку передаваемое по договору аренды имущество чаще всего находится в муниципальной собственности. Опыт предоставления субсидии на возмещение части арендной платы имеется в </w:t>
      </w:r>
      <w:proofErr w:type="gramStart"/>
      <w:r w:rsidRPr="00925351">
        <w:rPr>
          <w:sz w:val="28"/>
          <w:szCs w:val="28"/>
        </w:rPr>
        <w:t>г</w:t>
      </w:r>
      <w:proofErr w:type="gramEnd"/>
      <w:r w:rsidRPr="00925351">
        <w:rPr>
          <w:sz w:val="28"/>
          <w:szCs w:val="28"/>
        </w:rPr>
        <w:t>. Белогорск Амурской области.</w:t>
      </w:r>
    </w:p>
    <w:p w:rsidR="004A2735" w:rsidRPr="00925351" w:rsidRDefault="00925351" w:rsidP="00925351">
      <w:pPr>
        <w:pStyle w:val="21"/>
        <w:framePr w:w="10267" w:h="14515" w:hRule="exact" w:wrap="none" w:vAnchor="page" w:hAnchor="page" w:x="835" w:y="1356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Пред</w:t>
      </w:r>
      <w:r w:rsidRPr="00925351">
        <w:rPr>
          <w:sz w:val="28"/>
          <w:szCs w:val="28"/>
        </w:rPr>
        <w:t>оставление субсидий и (или) грантов и (или) льготных кредитов частным поставщикам услуг дошкольного образования на создание групп дошкольного образования, присмотра и ухода.</w:t>
      </w:r>
    </w:p>
    <w:p w:rsidR="004A2735" w:rsidRPr="00925351" w:rsidRDefault="00925351" w:rsidP="00925351">
      <w:pPr>
        <w:pStyle w:val="2"/>
        <w:framePr w:w="10267" w:h="14515" w:hRule="exact" w:wrap="none" w:vAnchor="page" w:hAnchor="page" w:x="835" w:y="1356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Существуют различные варианты реализации данного механизма в субъектах Российской </w:t>
      </w:r>
      <w:r w:rsidRPr="00925351">
        <w:rPr>
          <w:sz w:val="28"/>
          <w:szCs w:val="28"/>
        </w:rPr>
        <w:t>Федерации. Например, в Волгоградской области на конкурсной основе осуществляется субсидирование ранее понесенных затрат частных организаций и индивидуальных предпринимателей, связанных с созданием центров времяпрепровождения детей (аренда, выкуп помещения,</w:t>
      </w:r>
      <w:r w:rsidRPr="00925351">
        <w:rPr>
          <w:sz w:val="28"/>
          <w:szCs w:val="28"/>
        </w:rPr>
        <w:t xml:space="preserve"> их оснащение, приобретение средств обучения). В Кировской области реализованы разнообразные механизмы поддержки субъектов малого предпринимательства, в том числе реализующих программы дошкольного образования: гарантийное кредитование, заключаемое в предос</w:t>
      </w:r>
      <w:r w:rsidRPr="00925351">
        <w:rPr>
          <w:sz w:val="28"/>
          <w:szCs w:val="28"/>
        </w:rPr>
        <w:t>тавлении поручительств, льготное кредитование, субсидирование по договорам финансовой аренды. Наиболее распространенным механизмом поддержки, в свою очередь, является прямое предоставление грантов и субсидий на открытие частных детских садов, в том числе и</w:t>
      </w:r>
      <w:r w:rsidRPr="00925351">
        <w:rPr>
          <w:sz w:val="28"/>
          <w:szCs w:val="28"/>
        </w:rPr>
        <w:t xml:space="preserve">ндивидуальным предпринимателям, для которых он может являться еще и механизмом обеспечения занятости населения. На сегодняшний день рассматриваемый механизм в различной степени реализован в Алтайском крае, Белгородской области, Приморском крае, Республике </w:t>
      </w:r>
      <w:r w:rsidRPr="00925351">
        <w:rPr>
          <w:sz w:val="28"/>
          <w:szCs w:val="28"/>
        </w:rPr>
        <w:t>Тыве, Чувашской Республике и других регионах. Предоставляемые субсидии могут иметь целевое значение, например, направляться на возмещение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 xml:space="preserve">части затрат на уплату процентов по кредитам (субсидирование процентной ставки). Такая </w:t>
      </w:r>
      <w:r w:rsidRPr="00925351">
        <w:rPr>
          <w:sz w:val="28"/>
          <w:szCs w:val="28"/>
        </w:rPr>
        <w:t>практика существует в Амурской области, Кабардино-Балкарской Республике. Основанием для предоставления субсидий также может быть конкурсный отбор лучших организаций, осуществляемый, например, в Иркутской области.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В целом практика предоставления субсидий и </w:t>
      </w:r>
      <w:r w:rsidRPr="00925351">
        <w:rPr>
          <w:sz w:val="28"/>
          <w:szCs w:val="28"/>
        </w:rPr>
        <w:t>(или) грантов и (или) льготных кредитов является очень распространенным механизмом как инструмент по</w:t>
      </w:r>
      <w:r w:rsidRPr="00925351">
        <w:rPr>
          <w:rStyle w:val="1"/>
          <w:sz w:val="28"/>
          <w:szCs w:val="28"/>
        </w:rPr>
        <w:t>дд</w:t>
      </w:r>
      <w:r w:rsidRPr="00925351">
        <w:rPr>
          <w:sz w:val="28"/>
          <w:szCs w:val="28"/>
        </w:rPr>
        <w:t xml:space="preserve">ержки малого и среднего предпринимательства. Поддержка негосударственного сектора дошкольного образования зачастую осуществляется в связи с соответствием </w:t>
      </w:r>
      <w:r w:rsidRPr="00925351">
        <w:rPr>
          <w:sz w:val="28"/>
          <w:szCs w:val="28"/>
        </w:rPr>
        <w:t>поставщиков услуг дошкольного образования критериям, предъявляемым к субъектам малого и среднего предпринимательства. При этом обеспечение развития дошкольного образования во многом связано с выделением услуг по предоставлению дошкольного образования и при</w:t>
      </w:r>
      <w:r w:rsidRPr="00925351">
        <w:rPr>
          <w:sz w:val="28"/>
          <w:szCs w:val="28"/>
        </w:rPr>
        <w:t>смотра и ухода за детьми в качестве приоритетного вида деятельности. Это дает возможность предоставления льготных условий кредитования (это сделано, например, в Свердловской области).</w:t>
      </w:r>
    </w:p>
    <w:p w:rsidR="004A2735" w:rsidRPr="00925351" w:rsidRDefault="00925351" w:rsidP="00925351">
      <w:pPr>
        <w:pStyle w:val="21"/>
        <w:framePr w:w="10262" w:h="14520" w:hRule="exact" w:wrap="none" w:vAnchor="page" w:hAnchor="page" w:x="838" w:y="1375"/>
        <w:shd w:val="clear" w:color="auto" w:fill="auto"/>
        <w:ind w:lef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Предоставление земли под строительство частных детских садов.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Потребност</w:t>
      </w:r>
      <w:r w:rsidRPr="00925351">
        <w:rPr>
          <w:sz w:val="28"/>
          <w:szCs w:val="28"/>
        </w:rPr>
        <w:t xml:space="preserve">и в значительном увеличении количества мест в детских садах предполагают необходимость решения вопросов, касающихся возведения новых строений. В </w:t>
      </w:r>
      <w:proofErr w:type="gramStart"/>
      <w:r w:rsidRPr="00925351">
        <w:rPr>
          <w:sz w:val="28"/>
          <w:szCs w:val="28"/>
        </w:rPr>
        <w:t>г</w:t>
      </w:r>
      <w:proofErr w:type="gramEnd"/>
      <w:r w:rsidRPr="00925351">
        <w:rPr>
          <w:sz w:val="28"/>
          <w:szCs w:val="28"/>
        </w:rPr>
        <w:t>. Москве и Приморском крае для обеспечения развития негосударственного сектора дошкольного образования частным</w:t>
      </w:r>
      <w:r w:rsidRPr="00925351">
        <w:rPr>
          <w:sz w:val="28"/>
          <w:szCs w:val="28"/>
        </w:rPr>
        <w:t xml:space="preserve"> инвесторам предоставляется земля для строительства негосударственных детских садов. Этот опыт может быть эффективно использован другими субъектами Российской Федерации, в которых развитие частных поставщиков услуг сдерживается нехваткой помещений и сложно</w:t>
      </w:r>
      <w:r w:rsidRPr="00925351">
        <w:rPr>
          <w:sz w:val="28"/>
          <w:szCs w:val="28"/>
        </w:rPr>
        <w:t>стью получения земель под застройку.</w:t>
      </w:r>
    </w:p>
    <w:p w:rsidR="004A2735" w:rsidRPr="00925351" w:rsidRDefault="00925351" w:rsidP="00925351">
      <w:pPr>
        <w:pStyle w:val="21"/>
        <w:framePr w:w="10262" w:h="14520" w:hRule="exact" w:wrap="none" w:vAnchor="page" w:hAnchor="page" w:x="838" w:y="1375"/>
        <w:shd w:val="clear" w:color="auto" w:fill="auto"/>
        <w:ind w:lef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Поддержка развития материально-технической базы частных детских</w:t>
      </w:r>
    </w:p>
    <w:p w:rsidR="004A2735" w:rsidRPr="00925351" w:rsidRDefault="00925351" w:rsidP="00925351">
      <w:pPr>
        <w:pStyle w:val="21"/>
        <w:framePr w:w="10262" w:h="14520" w:hRule="exact" w:wrap="none" w:vAnchor="page" w:hAnchor="page" w:x="838" w:y="1375"/>
        <w:shd w:val="clear" w:color="auto" w:fill="auto"/>
        <w:ind w:lef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садов.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Реализация данного механизма осуществляется, например, через предоставление субсидий частным образовательным организациям, индивидуальным </w:t>
      </w:r>
      <w:r w:rsidRPr="00925351">
        <w:rPr>
          <w:sz w:val="28"/>
          <w:szCs w:val="28"/>
        </w:rPr>
        <w:t>предпринимателям, реализующим программы дошкольного образования, на материально-техническое оснащение, реконструкцию и ремонт нежилых зданий, предназначенных для осуществления деятельности в сфере дошкольного образования (Омская область). Отдельно может бы</w:t>
      </w:r>
      <w:r w:rsidRPr="00925351">
        <w:rPr>
          <w:sz w:val="28"/>
          <w:szCs w:val="28"/>
        </w:rPr>
        <w:t xml:space="preserve">ть определена категория получателей соответствующей поддержки (в Магаданской области такую субсидию получают исключительно индивидуальные предприниматели). В качестве альтернативного подхода может рассматриваться прямое обустройство </w:t>
      </w:r>
      <w:proofErr w:type="spellStart"/>
      <w:r w:rsidRPr="00925351">
        <w:rPr>
          <w:sz w:val="28"/>
          <w:szCs w:val="28"/>
        </w:rPr>
        <w:t>предметно</w:t>
      </w:r>
      <w:r w:rsidRPr="00925351">
        <w:rPr>
          <w:sz w:val="28"/>
          <w:szCs w:val="28"/>
        </w:rPr>
        <w:softHyphen/>
        <w:t>пространствен</w:t>
      </w:r>
      <w:r w:rsidRPr="00925351">
        <w:rPr>
          <w:sz w:val="28"/>
          <w:szCs w:val="28"/>
        </w:rPr>
        <w:t>ной</w:t>
      </w:r>
      <w:proofErr w:type="spellEnd"/>
      <w:r w:rsidRPr="00925351">
        <w:rPr>
          <w:sz w:val="28"/>
          <w:szCs w:val="28"/>
        </w:rPr>
        <w:t xml:space="preserve"> развивающей среды частных детских садов, например, оснащение частных детских садов современной мебелью, игровым и спортивным оборудованием (Калужская область), или оборудование детских площадок (Тюменская область). Развитие сети частных поставщиков дош</w:t>
      </w:r>
      <w:r w:rsidRPr="00925351">
        <w:rPr>
          <w:sz w:val="28"/>
          <w:szCs w:val="28"/>
        </w:rPr>
        <w:t>кольных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77" w:h="14512" w:hRule="exact" w:wrap="none" w:vAnchor="page" w:hAnchor="page" w:x="831" w:y="1355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 xml:space="preserve">образовательных услуг может, в том числе, осуществляться посредством стимулирования частных застройщиков к возведению жилых строений, предусматривающих наличие помещений, предназначенных для реализации программ дошкольного </w:t>
      </w:r>
      <w:r w:rsidRPr="00925351">
        <w:rPr>
          <w:sz w:val="28"/>
          <w:szCs w:val="28"/>
        </w:rPr>
        <w:t>образования. Дальнейшее приобретение муниципалитетом соответствующих помещений для последующего предоставления их негосударственным организациям, оказывающим услуги в сфере дошкольного образования, обеспечивает заинтересованность всех трех сторон в сотрудн</w:t>
      </w:r>
      <w:r w:rsidRPr="00925351">
        <w:rPr>
          <w:sz w:val="28"/>
          <w:szCs w:val="28"/>
        </w:rPr>
        <w:t>ичестве (такой механизм реализован в Республике Башкортостан).</w:t>
      </w:r>
    </w:p>
    <w:p w:rsidR="004A2735" w:rsidRPr="00925351" w:rsidRDefault="00925351" w:rsidP="00925351">
      <w:pPr>
        <w:pStyle w:val="21"/>
        <w:framePr w:w="10277" w:h="14512" w:hRule="exact" w:wrap="none" w:vAnchor="page" w:hAnchor="page" w:x="831" w:y="135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Предоставление налоговых льгот частным образовательным организациям и (или) индивидуальным предпринимателям</w:t>
      </w:r>
    </w:p>
    <w:p w:rsidR="004A2735" w:rsidRPr="00925351" w:rsidRDefault="00925351" w:rsidP="00925351">
      <w:pPr>
        <w:pStyle w:val="2"/>
        <w:framePr w:w="10277" w:h="14512" w:hRule="exact" w:wrap="none" w:vAnchor="page" w:hAnchor="page" w:x="831" w:y="135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Основным инструментов налогового стимулирования в большинстве субъектов Российской Фе</w:t>
      </w:r>
      <w:r w:rsidRPr="00925351">
        <w:rPr>
          <w:sz w:val="28"/>
          <w:szCs w:val="28"/>
        </w:rPr>
        <w:t xml:space="preserve">дерации является уменьшение или обнуление ставки налога на имущество для частных организаций, оказывающих дошкольные образовательные услуги и (или) услуги по присмотру и уходу за детьми. </w:t>
      </w:r>
      <w:proofErr w:type="gramStart"/>
      <w:r w:rsidRPr="00925351">
        <w:rPr>
          <w:sz w:val="28"/>
          <w:szCs w:val="28"/>
        </w:rPr>
        <w:t>Так, в Белгородской области установлена «О» ставка налога на имуществ</w:t>
      </w:r>
      <w:r w:rsidRPr="00925351">
        <w:rPr>
          <w:sz w:val="28"/>
          <w:szCs w:val="28"/>
        </w:rPr>
        <w:t>о всех негосударственных организаций, осуществляющих как реализацию образовательных программ, так и присмотр и уход, в то время как в Московской области тот же налог снижен на 50%, но только для негосударственных образовательных организаций, реализующих об</w:t>
      </w:r>
      <w:r w:rsidRPr="00925351">
        <w:rPr>
          <w:sz w:val="28"/>
          <w:szCs w:val="28"/>
        </w:rPr>
        <w:t>разовательные программы дошкольного образования.</w:t>
      </w:r>
      <w:proofErr w:type="gramEnd"/>
      <w:r w:rsidRPr="00925351">
        <w:rPr>
          <w:sz w:val="28"/>
          <w:szCs w:val="28"/>
        </w:rPr>
        <w:t xml:space="preserve"> Таким образом, при установлении льготы по налогу на имущество </w:t>
      </w:r>
      <w:proofErr w:type="gramStart"/>
      <w:r w:rsidRPr="00925351">
        <w:rPr>
          <w:sz w:val="28"/>
          <w:szCs w:val="28"/>
        </w:rPr>
        <w:t>рекомендуется</w:t>
      </w:r>
      <w:proofErr w:type="gramEnd"/>
      <w:r w:rsidRPr="00925351">
        <w:rPr>
          <w:sz w:val="28"/>
          <w:szCs w:val="28"/>
        </w:rPr>
        <w:t xml:space="preserve"> прежде всего исходить из целевой категории получателей льготы (только лишь образовательные организации либо прочие организации, осу</w:t>
      </w:r>
      <w:r w:rsidRPr="00925351">
        <w:rPr>
          <w:sz w:val="28"/>
          <w:szCs w:val="28"/>
        </w:rPr>
        <w:t>ществляющие образовательную деятельность, и индивидуальные предприниматели), и из того, какие услуги необходимо поддерживать и в каком объеме.</w:t>
      </w:r>
    </w:p>
    <w:p w:rsidR="004A2735" w:rsidRPr="00925351" w:rsidRDefault="00925351" w:rsidP="00925351">
      <w:pPr>
        <w:pStyle w:val="2"/>
        <w:framePr w:w="10277" w:h="14512" w:hRule="exact" w:wrap="none" w:vAnchor="page" w:hAnchor="page" w:x="831" w:y="135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Помимо уменьшения налога на имущество могут использоваться механизмы снижения налогового бремени с получаемых час</w:t>
      </w:r>
      <w:r w:rsidRPr="00925351">
        <w:rPr>
          <w:sz w:val="28"/>
          <w:szCs w:val="28"/>
        </w:rPr>
        <w:t>тными дошкольными образовательными организациями доходов. Например, в Курганской области используется механизм уменьшения ставки налога на вмененный доход, устанавливаемого при оказании услуг по присмотру и уходу за детьми; в Кемеровской области для частны</w:t>
      </w:r>
      <w:r w:rsidRPr="00925351">
        <w:rPr>
          <w:sz w:val="28"/>
          <w:szCs w:val="28"/>
        </w:rPr>
        <w:t>х организаций, реализующих программы дошкольного образования, применяющих упрощенную систему налогообложения, при определенных условиях с 1 января 2012 г. налоговая ставка при объекте налогообложения «доходы, уменьшенные на величину расходов» снижается с 1</w:t>
      </w:r>
      <w:r w:rsidRPr="00925351">
        <w:rPr>
          <w:sz w:val="28"/>
          <w:szCs w:val="28"/>
        </w:rPr>
        <w:t>5 до 5 процентов.</w:t>
      </w:r>
    </w:p>
    <w:p w:rsidR="004A2735" w:rsidRPr="00925351" w:rsidRDefault="00925351" w:rsidP="00925351">
      <w:pPr>
        <w:pStyle w:val="21"/>
        <w:framePr w:w="10277" w:h="14512" w:hRule="exact" w:wrap="none" w:vAnchor="page" w:hAnchor="page" w:x="831" w:y="135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Возмещение отдельных расходов частных поставщиков услуг дошкольного образования.</w:t>
      </w:r>
    </w:p>
    <w:p w:rsidR="004A2735" w:rsidRPr="00925351" w:rsidRDefault="00925351" w:rsidP="00925351">
      <w:pPr>
        <w:pStyle w:val="2"/>
        <w:framePr w:w="10277" w:h="14512" w:hRule="exact" w:wrap="none" w:vAnchor="page" w:hAnchor="page" w:x="831" w:y="135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Положительное влияние на развития частных детских садов может оказать механизм по предоставлению негосударственным образовательным организациям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67" w:h="14520" w:hRule="exact" w:wrap="none" w:vAnchor="page" w:hAnchor="page" w:x="835" w:y="1370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 xml:space="preserve">субсидий на возмещение оплаты коммунальных услуг, </w:t>
      </w:r>
      <w:proofErr w:type="gramStart"/>
      <w:r w:rsidRPr="00925351">
        <w:rPr>
          <w:sz w:val="28"/>
          <w:szCs w:val="28"/>
        </w:rPr>
        <w:t>используемый</w:t>
      </w:r>
      <w:proofErr w:type="gramEnd"/>
      <w:r w:rsidRPr="00925351">
        <w:rPr>
          <w:sz w:val="28"/>
          <w:szCs w:val="28"/>
        </w:rPr>
        <w:t xml:space="preserve"> в Республике Саха (Якутия). Таким образом, происходит выравнивание данных расходов для государственных (муниципальных) и частных детских садов.</w:t>
      </w:r>
    </w:p>
    <w:p w:rsidR="004A2735" w:rsidRPr="00925351" w:rsidRDefault="00925351" w:rsidP="00925351">
      <w:pPr>
        <w:pStyle w:val="21"/>
        <w:framePr w:w="10267" w:h="14520" w:hRule="exact" w:wrap="none" w:vAnchor="page" w:hAnchor="page" w:x="835" w:y="1370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Методическая, </w:t>
      </w:r>
      <w:r w:rsidRPr="00925351">
        <w:rPr>
          <w:sz w:val="28"/>
          <w:szCs w:val="28"/>
        </w:rPr>
        <w:t>консультационная, юридическая и информационная поддержка частных поставщиков услуг.</w:t>
      </w:r>
    </w:p>
    <w:p w:rsidR="004A2735" w:rsidRPr="00925351" w:rsidRDefault="00925351" w:rsidP="00925351">
      <w:pPr>
        <w:pStyle w:val="2"/>
        <w:framePr w:w="10267" w:h="14520" w:hRule="exact" w:wrap="none" w:vAnchor="page" w:hAnchor="page" w:x="835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Для обеспечения привлечения негосударственного сектора к оказанию услуг по реализации основных общеобразовательных программ дошкольного образования и присмотра и ухода в ря</w:t>
      </w:r>
      <w:r w:rsidRPr="00925351">
        <w:rPr>
          <w:sz w:val="28"/>
          <w:szCs w:val="28"/>
        </w:rPr>
        <w:t xml:space="preserve">де субъектов осуществляется, в том числе, их поддержка посредством проведения </w:t>
      </w:r>
      <w:proofErr w:type="spellStart"/>
      <w:proofErr w:type="gramStart"/>
      <w:r w:rsidRPr="00925351">
        <w:rPr>
          <w:sz w:val="28"/>
          <w:szCs w:val="28"/>
        </w:rPr>
        <w:t>бизнес-тренингов</w:t>
      </w:r>
      <w:proofErr w:type="spellEnd"/>
      <w:proofErr w:type="gramEnd"/>
      <w:r w:rsidRPr="00925351">
        <w:rPr>
          <w:sz w:val="28"/>
          <w:szCs w:val="28"/>
        </w:rPr>
        <w:t>, консультирования и методического обеспечения. Помимо стандартной поддержки в субъектах Российской Федерации осуществляется повышение квалификации педагогических</w:t>
      </w:r>
      <w:r w:rsidRPr="00925351">
        <w:rPr>
          <w:sz w:val="28"/>
          <w:szCs w:val="28"/>
        </w:rPr>
        <w:t xml:space="preserve"> работников частных детских садов (соответствующий механизм реализуется, например, в</w:t>
      </w:r>
      <w:proofErr w:type="gramStart"/>
      <w:r w:rsidRPr="00925351">
        <w:rPr>
          <w:sz w:val="28"/>
          <w:szCs w:val="28"/>
        </w:rPr>
        <w:t xml:space="preserve"> С</w:t>
      </w:r>
      <w:proofErr w:type="gramEnd"/>
      <w:r w:rsidRPr="00925351">
        <w:rPr>
          <w:sz w:val="28"/>
          <w:szCs w:val="28"/>
        </w:rPr>
        <w:t xml:space="preserve">анкт- Петербурге). </w:t>
      </w:r>
      <w:proofErr w:type="gramStart"/>
      <w:r w:rsidRPr="00925351">
        <w:rPr>
          <w:sz w:val="28"/>
          <w:szCs w:val="28"/>
        </w:rPr>
        <w:t>Для обеспечения информирования потенциальных предпринимателей о возможности взятия в аренду на льготных условиях муниципальных площадей для организации</w:t>
      </w:r>
      <w:proofErr w:type="gramEnd"/>
      <w:r w:rsidRPr="00925351">
        <w:rPr>
          <w:sz w:val="28"/>
          <w:szCs w:val="28"/>
        </w:rPr>
        <w:t xml:space="preserve"> работы дошкольных групп в Тульской области проводится инвентаризация соответствующих помещений и размещается информация о них в средствах массовой информации.</w:t>
      </w:r>
    </w:p>
    <w:p w:rsidR="004A2735" w:rsidRPr="00925351" w:rsidRDefault="00925351" w:rsidP="00925351">
      <w:pPr>
        <w:pStyle w:val="2"/>
        <w:framePr w:w="10267" w:h="14520" w:hRule="exact" w:wrap="none" w:vAnchor="page" w:hAnchor="page" w:x="835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25351">
        <w:rPr>
          <w:sz w:val="28"/>
          <w:szCs w:val="28"/>
        </w:rPr>
        <w:t>С целью обеспечения равенства родителей (законных представителей) детей, посещающих государствен</w:t>
      </w:r>
      <w:r w:rsidRPr="00925351">
        <w:rPr>
          <w:sz w:val="28"/>
          <w:szCs w:val="28"/>
        </w:rPr>
        <w:t xml:space="preserve">ные и муниципальные образовательные организации, и детей, получающих услуги дошкольного образования и присмотра и ухода у негосударственных поставщиков, в качестве одного из условий предоставления имущественной и налоговой поддержки может быть рассмотрено </w:t>
      </w:r>
      <w:r w:rsidRPr="00925351">
        <w:rPr>
          <w:sz w:val="28"/>
          <w:szCs w:val="28"/>
        </w:rPr>
        <w:t>принятие частными дошкольными образовательными организациями и индивидуальными предпринимателями обязательств по установлению фиксированной величины родительской платы на определенный период.</w:t>
      </w:r>
      <w:proofErr w:type="gramEnd"/>
      <w:r w:rsidRPr="00925351">
        <w:rPr>
          <w:sz w:val="28"/>
          <w:szCs w:val="28"/>
        </w:rPr>
        <w:t xml:space="preserve"> Для этого при заключении соглашения (договора) о предоставлении </w:t>
      </w:r>
      <w:r w:rsidRPr="00925351">
        <w:rPr>
          <w:sz w:val="28"/>
          <w:szCs w:val="28"/>
        </w:rPr>
        <w:t>льгот частному поставщику услуг в тексте соглашения целесообразно предусматривать закрепление в нем максимального размера платы, взимаемой с родителей (законных представителей) детей, получающих дошкольное образования, за оказание услуг по присмотру и уход</w:t>
      </w:r>
      <w:r w:rsidRPr="00925351">
        <w:rPr>
          <w:sz w:val="28"/>
          <w:szCs w:val="28"/>
        </w:rPr>
        <w:t xml:space="preserve">у. </w:t>
      </w:r>
      <w:proofErr w:type="gramStart"/>
      <w:r w:rsidRPr="00925351">
        <w:rPr>
          <w:sz w:val="28"/>
          <w:szCs w:val="28"/>
        </w:rPr>
        <w:t>При этом в связи с особенностями финансирования со стороны учредителей государственных и муниципальных образовательных организаций расходов организаций, связанных с созданием условий для осуществления присмотра и ухода, максимальная величина родительско</w:t>
      </w:r>
      <w:r w:rsidRPr="00925351">
        <w:rPr>
          <w:sz w:val="28"/>
          <w:szCs w:val="28"/>
        </w:rPr>
        <w:t>й платы для частных организаций и индивидуальных предпринимателей может превышать среднюю величину родительской платы в субъекте Российской Федерации (муниципалитете), но не более чем на 15-20 процентов.</w:t>
      </w:r>
      <w:proofErr w:type="gramEnd"/>
    </w:p>
    <w:p w:rsidR="004A2735" w:rsidRPr="00925351" w:rsidRDefault="00925351" w:rsidP="00925351">
      <w:pPr>
        <w:pStyle w:val="2"/>
        <w:framePr w:w="10267" w:h="14520" w:hRule="exact" w:wrap="none" w:vAnchor="page" w:hAnchor="page" w:x="835" w:y="1370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Помимо представленных механизмов имущественной, нало</w:t>
      </w:r>
      <w:r w:rsidRPr="00925351">
        <w:rPr>
          <w:sz w:val="28"/>
          <w:szCs w:val="28"/>
        </w:rPr>
        <w:t>говой и информационной поддержки создания новых мест для получения детьми дошкольного образования в частных дошкольных образовательных организациях и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>у индивидуальных предпринимателей во многих субъектах Российской Федерации применя</w:t>
      </w:r>
      <w:r w:rsidRPr="00925351">
        <w:rPr>
          <w:sz w:val="28"/>
          <w:szCs w:val="28"/>
        </w:rPr>
        <w:t>ются или готовятся к применению механизмы предоставления субсидий на реализацию основных общеобразовательных программ дошкольного образования в организациях независимо от формы собственности.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Проведенный анализ опыта отдельных субъектов Российской </w:t>
      </w:r>
      <w:r w:rsidRPr="00925351">
        <w:rPr>
          <w:sz w:val="28"/>
          <w:szCs w:val="28"/>
        </w:rPr>
        <w:t>Федерации свидетельствует о трех основных механизмах предоставления субсидий частным поставщикам услуг дошкольного образования: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925351">
        <w:rPr>
          <w:sz w:val="28"/>
          <w:szCs w:val="28"/>
        </w:rPr>
        <w:t>муниципальный заказ на услуги дошкольного образования в частных образовательных организациях в соответствии с действующими на се</w:t>
      </w:r>
      <w:r w:rsidRPr="00925351">
        <w:rPr>
          <w:sz w:val="28"/>
          <w:szCs w:val="28"/>
        </w:rPr>
        <w:t>годняшний день положениями Закона Российской Федерации «Об образовании» от 10 июля 1992 года № 3266-1 (реализация механизма в связи с вступлением в силу пункта 6 части 1 статьи 8 Федерального закона об образовании будет прекращена с 1 января 2014 г.);</w:t>
      </w:r>
      <w:proofErr w:type="gramEnd"/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пере</w:t>
      </w:r>
      <w:r w:rsidRPr="00925351">
        <w:rPr>
          <w:sz w:val="28"/>
          <w:szCs w:val="28"/>
        </w:rPr>
        <w:t>дача субъектами Российской Федерации государственных полномочий по финансовому обеспечению дошкольного образования в частных образовательных организациях на муниципальный уровень с предоставлением соответствующих субсидий;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непосредственная реализация госуд</w:t>
      </w:r>
      <w:r w:rsidRPr="00925351">
        <w:rPr>
          <w:sz w:val="28"/>
          <w:szCs w:val="28"/>
        </w:rPr>
        <w:t>арственных полномочий по финансовому обеспечению дошкольного образования в частных образовательных организациях посредством предоставления субсидий на возмещение затрат.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tabs>
          <w:tab w:val="center" w:pos="4996"/>
          <w:tab w:val="right" w:pos="8428"/>
          <w:tab w:val="right" w:pos="10334"/>
        </w:tabs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В ряде субъектов Российской Федерации подготовлены проекты соответствующих нормативных</w:t>
      </w:r>
      <w:r w:rsidRPr="00925351">
        <w:rPr>
          <w:sz w:val="28"/>
          <w:szCs w:val="28"/>
        </w:rPr>
        <w:t xml:space="preserve"> правовых актов по передаче субъектами Российской Федерации государственных</w:t>
      </w:r>
      <w:r w:rsidRPr="00925351">
        <w:rPr>
          <w:sz w:val="28"/>
          <w:szCs w:val="28"/>
        </w:rPr>
        <w:tab/>
        <w:t>полномочий</w:t>
      </w:r>
      <w:r w:rsidRPr="00925351">
        <w:rPr>
          <w:sz w:val="28"/>
          <w:szCs w:val="28"/>
        </w:rPr>
        <w:tab/>
        <w:t>по финансовому</w:t>
      </w:r>
      <w:r w:rsidRPr="00925351">
        <w:rPr>
          <w:sz w:val="28"/>
          <w:szCs w:val="28"/>
        </w:rPr>
        <w:tab/>
        <w:t>обеспечению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tabs>
          <w:tab w:val="center" w:pos="4996"/>
          <w:tab w:val="right" w:pos="8428"/>
          <w:tab w:val="right" w:pos="10334"/>
        </w:tabs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дошкольного образования в частных образовательных организациях на муниципальный уровень, в некоторых субъектах Российской Федерации они уже пр</w:t>
      </w:r>
      <w:r w:rsidRPr="00925351">
        <w:rPr>
          <w:sz w:val="28"/>
          <w:szCs w:val="28"/>
        </w:rPr>
        <w:t>иняты. В то же время, учитывая тот факт, что положения Федерального закона об образовании, закрепляющие</w:t>
      </w:r>
      <w:r w:rsidRPr="00925351">
        <w:rPr>
          <w:sz w:val="28"/>
          <w:szCs w:val="28"/>
        </w:rPr>
        <w:tab/>
        <w:t>полномочие</w:t>
      </w:r>
      <w:r w:rsidRPr="00925351">
        <w:rPr>
          <w:sz w:val="28"/>
          <w:szCs w:val="28"/>
        </w:rPr>
        <w:tab/>
        <w:t>по финансовому</w:t>
      </w:r>
      <w:r w:rsidRPr="00925351">
        <w:rPr>
          <w:sz w:val="28"/>
          <w:szCs w:val="28"/>
        </w:rPr>
        <w:tab/>
        <w:t>обеспечению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tabs>
          <w:tab w:val="center" w:pos="4996"/>
          <w:tab w:val="right" w:pos="8428"/>
          <w:tab w:val="right" w:pos="10334"/>
        </w:tabs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дошкольного образования в частных дошкольных образовательных организациях на региональном уровне, еще не вступили </w:t>
      </w:r>
      <w:r w:rsidRPr="00925351">
        <w:rPr>
          <w:sz w:val="28"/>
          <w:szCs w:val="28"/>
        </w:rPr>
        <w:t>в силу, поспешная реализация второго из представленных механизмов не может быть поддержана. Таким образом, субъектам Российской Федерации</w:t>
      </w:r>
      <w:r w:rsidRPr="00925351">
        <w:rPr>
          <w:sz w:val="28"/>
          <w:szCs w:val="28"/>
        </w:rPr>
        <w:tab/>
        <w:t>рекомендуется</w:t>
      </w:r>
      <w:r w:rsidRPr="00925351">
        <w:rPr>
          <w:sz w:val="28"/>
          <w:szCs w:val="28"/>
        </w:rPr>
        <w:tab/>
        <w:t>придерживаться</w:t>
      </w:r>
      <w:r w:rsidRPr="00925351">
        <w:rPr>
          <w:sz w:val="28"/>
          <w:szCs w:val="28"/>
        </w:rPr>
        <w:tab/>
        <w:t>механизма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 xml:space="preserve">непосредственного предоставления субсидий на возмещение затрат частным </w:t>
      </w:r>
      <w:r w:rsidRPr="00925351">
        <w:rPr>
          <w:sz w:val="28"/>
          <w:szCs w:val="28"/>
        </w:rPr>
        <w:t>организациям и индивидуальным предпринимателям, реализующим программы дошкольного образования.</w:t>
      </w:r>
    </w:p>
    <w:p w:rsidR="004A2735" w:rsidRPr="00925351" w:rsidRDefault="00925351" w:rsidP="00925351">
      <w:pPr>
        <w:pStyle w:val="2"/>
        <w:framePr w:w="10262" w:h="14520" w:hRule="exact" w:wrap="none" w:vAnchor="page" w:hAnchor="page" w:x="838" w:y="1375"/>
        <w:shd w:val="clear" w:color="auto" w:fill="auto"/>
        <w:spacing w:after="0" w:line="370" w:lineRule="exact"/>
        <w:ind w:left="20" w:right="20" w:firstLine="7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t>Необходимо отметить, что в отдельных регионах помимо предоставления субсидии на реализацию программ дошкольного образования с целью обеспечения равных возможност</w:t>
      </w:r>
      <w:r w:rsidRPr="00925351">
        <w:rPr>
          <w:sz w:val="28"/>
          <w:szCs w:val="28"/>
        </w:rPr>
        <w:t>ей для частных и государственных (муниципальных) организаций и индивидуальных предпринимателей, оказывающих услуги детям дошкольного возраста, реализуются механизмы субсидирования негосударственных</w:t>
      </w:r>
    </w:p>
    <w:p w:rsidR="004A2735" w:rsidRPr="00925351" w:rsidRDefault="004A2735" w:rsidP="00925351">
      <w:pPr>
        <w:jc w:val="both"/>
        <w:rPr>
          <w:sz w:val="28"/>
          <w:szCs w:val="28"/>
        </w:rPr>
        <w:sectPr w:rsidR="004A2735" w:rsidRPr="009253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735" w:rsidRPr="00925351" w:rsidRDefault="00925351" w:rsidP="00925351">
      <w:pPr>
        <w:pStyle w:val="2"/>
        <w:framePr w:w="10258" w:h="11180" w:hRule="exact" w:wrap="none" w:vAnchor="page" w:hAnchor="page" w:x="840" w:y="1365"/>
        <w:shd w:val="clear" w:color="auto" w:fill="auto"/>
        <w:spacing w:after="0" w:line="370" w:lineRule="exact"/>
        <w:ind w:left="20" w:right="20"/>
        <w:jc w:val="both"/>
        <w:rPr>
          <w:sz w:val="28"/>
          <w:szCs w:val="28"/>
        </w:rPr>
      </w:pPr>
      <w:r w:rsidRPr="00925351">
        <w:rPr>
          <w:sz w:val="28"/>
          <w:szCs w:val="28"/>
        </w:rPr>
        <w:lastRenderedPageBreak/>
        <w:t>поставщиков услуг по присмотру и у</w:t>
      </w:r>
      <w:r w:rsidRPr="00925351">
        <w:rPr>
          <w:sz w:val="28"/>
          <w:szCs w:val="28"/>
        </w:rPr>
        <w:t xml:space="preserve">ходу. </w:t>
      </w:r>
      <w:proofErr w:type="gramStart"/>
      <w:r w:rsidRPr="00925351">
        <w:rPr>
          <w:sz w:val="28"/>
          <w:szCs w:val="28"/>
        </w:rPr>
        <w:t>В качестве примера можно привести опыт Самарской области по предоставлению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которым возмещ</w:t>
      </w:r>
      <w:r w:rsidRPr="00925351">
        <w:rPr>
          <w:sz w:val="28"/>
          <w:szCs w:val="28"/>
        </w:rPr>
        <w:t>аются затраты в связи с производством товаров, выполнением работ, оказанием услуг по организации групп дневного пребывания детей дошкольного возраста и иных подобных этому видов деятельности по уходу и присмотру за детьми в соответствии с</w:t>
      </w:r>
      <w:proofErr w:type="gramEnd"/>
      <w:r w:rsidRPr="00925351">
        <w:rPr>
          <w:sz w:val="28"/>
          <w:szCs w:val="28"/>
        </w:rPr>
        <w:t xml:space="preserve"> постановлением Пр</w:t>
      </w:r>
      <w:r w:rsidRPr="00925351">
        <w:rPr>
          <w:sz w:val="28"/>
          <w:szCs w:val="28"/>
        </w:rPr>
        <w:t>авительства Самарской области от 17 октября 2012 г. № 528. Кроме того, предоставление средств частным дошкольным образовательным организациям, в том числе, и на обеспечение ими оказываемых услуг по присмотру и уходу, осуществляется в Омской области и некот</w:t>
      </w:r>
      <w:r w:rsidRPr="00925351">
        <w:rPr>
          <w:sz w:val="28"/>
          <w:szCs w:val="28"/>
        </w:rPr>
        <w:t>орых других субъектах Российской Федерации. Рассмотренный выше опыт Республики Саха (Якутия) по возмещению расходов на приобретение частными организациями коммунальных услуг также может рассматриваться как поддержка оказания ими услуг по присмотру и уходу.</w:t>
      </w:r>
    </w:p>
    <w:p w:rsidR="004A2735" w:rsidRPr="00925351" w:rsidRDefault="00925351" w:rsidP="00925351">
      <w:pPr>
        <w:pStyle w:val="2"/>
        <w:framePr w:w="10258" w:h="11180" w:hRule="exact" w:wrap="none" w:vAnchor="page" w:hAnchor="page" w:x="840" w:y="1365"/>
        <w:shd w:val="clear" w:color="auto" w:fill="auto"/>
        <w:spacing w:after="0" w:line="37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25351">
        <w:rPr>
          <w:sz w:val="28"/>
          <w:szCs w:val="28"/>
        </w:rPr>
        <w:t>В целом при совершенствовании нормативно-правовой базы субъектов Российской Федерации, муниципальных районов и городских округов в части выделения субсидий на оказание услуг детям в детских садах независимо от их организационно-правовых форм рекомендуется</w:t>
      </w:r>
      <w:r w:rsidRPr="00925351">
        <w:rPr>
          <w:sz w:val="28"/>
          <w:szCs w:val="28"/>
        </w:rPr>
        <w:t xml:space="preserve"> учитывать неравенство бюджетных поступлений частным дошкольным образовательным организациям и государственным (муниципальным) образовательным организациям, которые также получают из регионального (муниципального) бюджета средства на создание условий по пр</w:t>
      </w:r>
      <w:r w:rsidRPr="00925351">
        <w:rPr>
          <w:sz w:val="28"/>
          <w:szCs w:val="28"/>
        </w:rPr>
        <w:t>исмотру и уходу.</w:t>
      </w:r>
      <w:proofErr w:type="gramEnd"/>
      <w:r w:rsidRPr="00925351">
        <w:rPr>
          <w:sz w:val="28"/>
          <w:szCs w:val="28"/>
        </w:rPr>
        <w:t xml:space="preserve"> </w:t>
      </w:r>
      <w:proofErr w:type="gramStart"/>
      <w:r w:rsidRPr="00925351">
        <w:rPr>
          <w:sz w:val="28"/>
          <w:szCs w:val="28"/>
        </w:rPr>
        <w:t xml:space="preserve">Таким образом, с целью обеспечения развития конкуренции, в том числе с привлечением негосударственного сектора, рекомендуется на региональном (муниципальном) уровне предусмотреть механизмы предоставления частным дошкольным образовательным </w:t>
      </w:r>
      <w:r w:rsidRPr="00925351">
        <w:rPr>
          <w:sz w:val="28"/>
          <w:szCs w:val="28"/>
        </w:rPr>
        <w:t>организациям и индивидуальным предпринимателям субсидий на возмещение затрат, связанных не только с реализацией основных общеобразовательных программ дошкольного образования, но и с созданием условий по оказанию услуг по присмотру и уходу за детьми, обучаю</w:t>
      </w:r>
      <w:r w:rsidRPr="00925351">
        <w:rPr>
          <w:sz w:val="28"/>
          <w:szCs w:val="28"/>
        </w:rPr>
        <w:t>щимися по соответствующим</w:t>
      </w:r>
      <w:proofErr w:type="gramEnd"/>
      <w:r w:rsidRPr="00925351">
        <w:rPr>
          <w:sz w:val="28"/>
          <w:szCs w:val="28"/>
        </w:rPr>
        <w:t xml:space="preserve"> программам.</w:t>
      </w:r>
    </w:p>
    <w:p w:rsidR="004A2735" w:rsidRPr="00925351" w:rsidRDefault="004A2735" w:rsidP="00925351">
      <w:pPr>
        <w:jc w:val="both"/>
        <w:rPr>
          <w:sz w:val="28"/>
          <w:szCs w:val="28"/>
        </w:rPr>
      </w:pPr>
    </w:p>
    <w:sectPr w:rsidR="004A2735" w:rsidRPr="00925351" w:rsidSect="004A273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35" w:rsidRDefault="004A2735" w:rsidP="004A2735">
      <w:r>
        <w:separator/>
      </w:r>
    </w:p>
  </w:endnote>
  <w:endnote w:type="continuationSeparator" w:id="1">
    <w:p w:rsidR="004A2735" w:rsidRDefault="004A2735" w:rsidP="004A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35" w:rsidRDefault="004A2735"/>
  </w:footnote>
  <w:footnote w:type="continuationSeparator" w:id="1">
    <w:p w:rsidR="004A2735" w:rsidRDefault="004A27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8F"/>
    <w:multiLevelType w:val="multilevel"/>
    <w:tmpl w:val="07CA0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138F1"/>
    <w:multiLevelType w:val="multilevel"/>
    <w:tmpl w:val="958EE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A4D9E"/>
    <w:multiLevelType w:val="multilevel"/>
    <w:tmpl w:val="CB7A82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2735"/>
    <w:rsid w:val="004A2735"/>
    <w:rsid w:val="009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7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73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4A2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sid w:val="004A2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6"/>
    <w:rsid w:val="004A2735"/>
    <w:rPr>
      <w:i/>
      <w:iCs/>
      <w:color w:val="000000"/>
      <w:spacing w:val="1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4A2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sid w:val="004A2735"/>
    <w:rPr>
      <w:color w:val="000000"/>
      <w:w w:val="100"/>
      <w:position w:val="0"/>
      <w:u w:val="single"/>
      <w:lang w:val="ru-RU"/>
    </w:rPr>
  </w:style>
  <w:style w:type="paragraph" w:customStyle="1" w:styleId="a5">
    <w:name w:val="Колонтитул"/>
    <w:basedOn w:val="a"/>
    <w:link w:val="a4"/>
    <w:rsid w:val="004A27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a6"/>
    <w:rsid w:val="004A273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1">
    <w:name w:val="Основной текст (2)"/>
    <w:basedOn w:val="a"/>
    <w:link w:val="20"/>
    <w:rsid w:val="004A273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9253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535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3388</Words>
  <Characters>19313</Characters>
  <Application>Microsoft Office Word</Application>
  <DocSecurity>0</DocSecurity>
  <Lines>160</Lines>
  <Paragraphs>45</Paragraphs>
  <ScaleCrop>false</ScaleCrop>
  <Company/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Ларионова</cp:lastModifiedBy>
  <cp:revision>2</cp:revision>
  <dcterms:created xsi:type="dcterms:W3CDTF">2014-01-29T05:37:00Z</dcterms:created>
  <dcterms:modified xsi:type="dcterms:W3CDTF">2014-01-29T05:43:00Z</dcterms:modified>
</cp:coreProperties>
</file>